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5AC42F" w14:textId="04CF681B" w:rsidR="00DA0C46" w:rsidRPr="00AF62AC" w:rsidRDefault="00AB7481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3A1E71">
        <w:rPr>
          <w:rFonts w:ascii="Garamond" w:eastAsia="Times New Roman" w:hAnsi="Garamond" w:cs="Times New Roman"/>
          <w:b/>
          <w:bCs/>
          <w:sz w:val="26"/>
          <w:szCs w:val="26"/>
        </w:rPr>
        <w:t>P 26-84336</w:t>
      </w:r>
    </w:p>
    <w:p w14:paraId="2824EAD6" w14:textId="5B010F04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5C1A1FB0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</w:t>
      </w:r>
      <w:r w:rsidR="00A2126C">
        <w:rPr>
          <w:rFonts w:asciiTheme="minorHAnsi" w:eastAsiaTheme="minorEastAsia" w:hAnsiTheme="minorHAnsi" w:cstheme="minorHAnsi"/>
        </w:rPr>
        <w:t>P</w:t>
      </w:r>
      <w:r w:rsidR="00C8166F">
        <w:rPr>
          <w:rFonts w:asciiTheme="minorHAnsi" w:eastAsiaTheme="minorEastAsia" w:hAnsiTheme="minorHAnsi" w:cstheme="minorHAnsi"/>
        </w:rPr>
        <w:t xml:space="preserve">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0F007D5E" w:rsidR="00DA0C46" w:rsidRPr="00AF62AC" w:rsidRDefault="475A44D2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75"/>
        <w:gridCol w:w="2250"/>
        <w:gridCol w:w="9351"/>
      </w:tblGrid>
      <w:tr w:rsidR="005B2CAD" w:rsidRPr="00AF62AC" w14:paraId="7D9DBDF8" w14:textId="77777777" w:rsidTr="00076D8B">
        <w:trPr>
          <w:cantSplit/>
          <w:trHeight w:val="240"/>
        </w:trPr>
        <w:tc>
          <w:tcPr>
            <w:tcW w:w="1575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DF27976" w14:textId="279D7E25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RF</w:t>
            </w:r>
            <w:r w:rsidR="00B326D9">
              <w:rPr>
                <w:rFonts w:ascii="Garamond" w:hAnsi="Garamond"/>
                <w:b/>
                <w:bCs/>
                <w:sz w:val="22"/>
                <w:szCs w:val="22"/>
              </w:rPr>
              <w:t>P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9351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B80A02" w:rsidRPr="00AF62AC" w14:paraId="67312AE0" w14:textId="77777777" w:rsidTr="00893E3E">
        <w:trPr>
          <w:cantSplit/>
          <w:trHeight w:val="680"/>
        </w:trPr>
        <w:tc>
          <w:tcPr>
            <w:tcW w:w="1575" w:type="dxa"/>
          </w:tcPr>
          <w:p w14:paraId="278DE0EF" w14:textId="023D32A6" w:rsidR="00DA0C46" w:rsidRPr="00AF62AC" w:rsidRDefault="0090105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14:paraId="71995421" w14:textId="77777777" w:rsidR="00DA0C46" w:rsidRDefault="00274105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Contractor Requirements: </w:t>
            </w:r>
            <w:r w:rsidR="00413E70">
              <w:rPr>
                <w:rFonts w:ascii="Garamond" w:hAnsi="Garamond"/>
                <w:b/>
                <w:bCs/>
                <w:sz w:val="22"/>
                <w:szCs w:val="22"/>
              </w:rPr>
              <w:t>Pharmacy Operations Management</w:t>
            </w:r>
          </w:p>
          <w:p w14:paraId="08FB04D3" w14:textId="422A115F" w:rsidR="00413E70" w:rsidRPr="00AF62AC" w:rsidRDefault="00413E7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79DA2F08" w14:textId="77777777" w:rsidR="00DA0C46" w:rsidRDefault="00901050" w:rsidP="00317935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 xml:space="preserve">provide a description regarding how it will meet and address 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the requirements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>shared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 in </w:t>
            </w:r>
            <w:r w:rsidR="00B326D9">
              <w:rPr>
                <w:rFonts w:ascii="Garamond" w:hAnsi="Garamond"/>
                <w:sz w:val="22"/>
                <w:szCs w:val="22"/>
              </w:rPr>
              <w:t>Contractor Requirements</w:t>
            </w:r>
            <w:r w:rsidR="00C01060">
              <w:rPr>
                <w:rFonts w:ascii="Garamond" w:hAnsi="Garamond"/>
                <w:sz w:val="22"/>
                <w:szCs w:val="22"/>
              </w:rPr>
              <w:t>, Section A: Pharmacy Operations Management</w:t>
            </w:r>
            <w:r w:rsidR="008903C2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903C2" w:rsidRPr="008903C2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8903C2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20F4B785" w14:textId="6FAF3B91" w:rsidR="006E488C" w:rsidRPr="00EB75E1" w:rsidRDefault="006E488C" w:rsidP="00317935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6D68B862" w14:textId="77777777" w:rsidTr="00893E3E">
        <w:trPr>
          <w:cantSplit/>
        </w:trPr>
        <w:tc>
          <w:tcPr>
            <w:tcW w:w="1575" w:type="dxa"/>
          </w:tcPr>
          <w:p w14:paraId="6242D7A2" w14:textId="7A2E39B5" w:rsidR="00DA0C46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39574907" w14:textId="155861D3" w:rsidR="00DA0C46" w:rsidRPr="00AF62AC" w:rsidRDefault="00274105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Contractor Requirements: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13E70">
              <w:rPr>
                <w:rFonts w:ascii="Garamond" w:hAnsi="Garamond"/>
                <w:b/>
                <w:bCs/>
                <w:sz w:val="22"/>
                <w:szCs w:val="22"/>
              </w:rPr>
              <w:t>Staffing &amp; Training</w:t>
            </w:r>
          </w:p>
        </w:tc>
        <w:tc>
          <w:tcPr>
            <w:tcW w:w="9351" w:type="dxa"/>
          </w:tcPr>
          <w:p w14:paraId="3EEE5169" w14:textId="77777777" w:rsidR="000C71A4" w:rsidRDefault="00176FB6" w:rsidP="008903C2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C01060" w:rsidRPr="00C01060">
              <w:rPr>
                <w:rFonts w:ascii="Garamond" w:hAnsi="Garamond"/>
                <w:sz w:val="22"/>
                <w:szCs w:val="22"/>
              </w:rPr>
              <w:t>Contractor Requirements, Section</w:t>
            </w:r>
            <w:r w:rsidR="000C71A4">
              <w:rPr>
                <w:rFonts w:ascii="Garamond" w:hAnsi="Garamond"/>
                <w:sz w:val="22"/>
                <w:szCs w:val="22"/>
              </w:rPr>
              <w:t xml:space="preserve"> B: </w:t>
            </w:r>
            <w:r w:rsidR="00240674">
              <w:rPr>
                <w:rFonts w:ascii="Garamond" w:hAnsi="Garamond"/>
                <w:sz w:val="22"/>
                <w:szCs w:val="22"/>
              </w:rPr>
              <w:t xml:space="preserve">Staffing </w:t>
            </w:r>
            <w:r w:rsidR="00C41595">
              <w:rPr>
                <w:rFonts w:ascii="Garamond" w:hAnsi="Garamond"/>
                <w:sz w:val="22"/>
                <w:szCs w:val="22"/>
              </w:rPr>
              <w:t>&amp;</w:t>
            </w:r>
            <w:r w:rsidR="00240674">
              <w:rPr>
                <w:rFonts w:ascii="Garamond" w:hAnsi="Garamond"/>
                <w:sz w:val="22"/>
                <w:szCs w:val="22"/>
              </w:rPr>
              <w:t xml:space="preserve"> Training</w:t>
            </w:r>
            <w:r w:rsidR="008903C2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903C2" w:rsidRPr="008903C2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8903C2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64996FF3" w14:textId="209816CC" w:rsidR="006E488C" w:rsidRPr="00EB75E1" w:rsidRDefault="006E488C" w:rsidP="008903C2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2E27DF9A" w14:textId="77777777" w:rsidTr="00893E3E">
        <w:trPr>
          <w:cantSplit/>
        </w:trPr>
        <w:tc>
          <w:tcPr>
            <w:tcW w:w="1575" w:type="dxa"/>
          </w:tcPr>
          <w:p w14:paraId="36E5B212" w14:textId="4DF8B933" w:rsidR="00422020" w:rsidRPr="00AF62AC" w:rsidRDefault="00176FB6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10BCFB35" w14:textId="77777777" w:rsidR="00422020" w:rsidRDefault="00274105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Contractor Requirements: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413E70">
              <w:rPr>
                <w:rFonts w:ascii="Garamond" w:hAnsi="Garamond"/>
                <w:b/>
                <w:bCs/>
                <w:sz w:val="22"/>
                <w:szCs w:val="22"/>
              </w:rPr>
              <w:t>Clinical Pharmacy Services</w:t>
            </w:r>
          </w:p>
          <w:p w14:paraId="24ED1F61" w14:textId="19DFFEB4" w:rsidR="00413E70" w:rsidRPr="00AF62AC" w:rsidRDefault="00413E70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7C556953" w14:textId="77777777" w:rsidR="00DB4E2D" w:rsidRDefault="00176FB6" w:rsidP="008C11C5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524A03">
              <w:rPr>
                <w:rFonts w:ascii="Garamond" w:hAnsi="Garamond"/>
                <w:sz w:val="22"/>
                <w:szCs w:val="22"/>
              </w:rPr>
              <w:t>Contractor Requirements, Section</w:t>
            </w:r>
            <w:r w:rsidR="00524A03">
              <w:rPr>
                <w:rFonts w:ascii="Garamond" w:hAnsi="Garamond"/>
                <w:sz w:val="22"/>
                <w:szCs w:val="22"/>
              </w:rPr>
              <w:t xml:space="preserve"> C</w:t>
            </w:r>
            <w:r w:rsidR="00DB4E2D">
              <w:rPr>
                <w:rFonts w:ascii="Garamond" w:hAnsi="Garamond"/>
                <w:sz w:val="22"/>
                <w:szCs w:val="22"/>
              </w:rPr>
              <w:t>:</w:t>
            </w:r>
            <w:r w:rsidR="00746640">
              <w:rPr>
                <w:rFonts w:ascii="Garamond" w:hAnsi="Garamond"/>
                <w:sz w:val="22"/>
                <w:szCs w:val="22"/>
              </w:rPr>
              <w:t xml:space="preserve"> Clinical Pharmacy Services </w:t>
            </w:r>
            <w:r w:rsidR="00746640" w:rsidRPr="00746640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8C11C5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37D9809D" w14:textId="51792419" w:rsidR="006E488C" w:rsidRPr="00EB75E1" w:rsidRDefault="006E488C" w:rsidP="008C11C5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157AF541" w14:textId="77777777" w:rsidTr="00893E3E">
        <w:trPr>
          <w:cantSplit/>
        </w:trPr>
        <w:tc>
          <w:tcPr>
            <w:tcW w:w="1575" w:type="dxa"/>
          </w:tcPr>
          <w:p w14:paraId="28F654BC" w14:textId="5BE57168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250" w:type="dxa"/>
          </w:tcPr>
          <w:p w14:paraId="1EA61DE3" w14:textId="77777777" w:rsidR="00422020" w:rsidRDefault="00274105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Contractor Requirements: </w:t>
            </w:r>
            <w:r w:rsidR="00D346AA">
              <w:rPr>
                <w:rFonts w:ascii="Garamond" w:hAnsi="Garamond"/>
                <w:b/>
                <w:bCs/>
                <w:sz w:val="22"/>
                <w:szCs w:val="22"/>
              </w:rPr>
              <w:t>Medication Procurement &amp; Inventory Control</w:t>
            </w:r>
          </w:p>
          <w:p w14:paraId="0D1D83D8" w14:textId="36FC8CE8" w:rsidR="00D346AA" w:rsidRPr="00AF62AC" w:rsidRDefault="00D346AA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0F6A931F" w14:textId="77777777" w:rsidR="00422020" w:rsidRDefault="00176FB6" w:rsidP="00422020">
            <w:pPr>
              <w:tabs>
                <w:tab w:val="left" w:pos="3930"/>
              </w:tabs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</w:t>
            </w:r>
            <w:proofErr w:type="gramStart"/>
            <w:r w:rsidRPr="00EB75E1">
              <w:rPr>
                <w:rFonts w:ascii="Garamond" w:hAnsi="Garamond"/>
                <w:sz w:val="22"/>
                <w:szCs w:val="22"/>
              </w:rPr>
              <w:t>meet</w:t>
            </w:r>
            <w:proofErr w:type="gramEnd"/>
            <w:r w:rsidRPr="00EB75E1">
              <w:rPr>
                <w:rFonts w:ascii="Garamond" w:hAnsi="Garamond"/>
                <w:sz w:val="22"/>
                <w:szCs w:val="22"/>
              </w:rPr>
              <w:t xml:space="preserve"> and address the requirements shared in </w:t>
            </w:r>
            <w:r w:rsidR="00DB4E2D">
              <w:rPr>
                <w:rFonts w:ascii="Garamond" w:hAnsi="Garamond"/>
                <w:sz w:val="22"/>
                <w:szCs w:val="22"/>
              </w:rPr>
              <w:t>Contractor Requirements, Section</w:t>
            </w:r>
            <w:r w:rsidR="00DB4E2D">
              <w:rPr>
                <w:rFonts w:ascii="Garamond" w:hAnsi="Garamond"/>
                <w:sz w:val="22"/>
                <w:szCs w:val="22"/>
              </w:rPr>
              <w:t xml:space="preserve"> D: </w:t>
            </w:r>
            <w:r w:rsidR="008C11C5">
              <w:rPr>
                <w:rFonts w:ascii="Garamond" w:hAnsi="Garamond"/>
                <w:sz w:val="22"/>
                <w:szCs w:val="22"/>
              </w:rPr>
              <w:t xml:space="preserve">Medication </w:t>
            </w:r>
            <w:r w:rsidR="00F82856">
              <w:rPr>
                <w:rFonts w:ascii="Garamond" w:hAnsi="Garamond"/>
                <w:sz w:val="22"/>
                <w:szCs w:val="22"/>
              </w:rPr>
              <w:t xml:space="preserve">Procurement &amp; Inventory Control </w:t>
            </w:r>
            <w:r w:rsidR="00F82856" w:rsidRPr="00F82856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F82856">
              <w:rPr>
                <w:rFonts w:ascii="Garamond" w:hAnsi="Garamond"/>
                <w:sz w:val="22"/>
                <w:szCs w:val="22"/>
              </w:rPr>
              <w:t xml:space="preserve"> RFP. </w:t>
            </w:r>
          </w:p>
          <w:p w14:paraId="01041A8B" w14:textId="76CCA0B3" w:rsidR="006E488C" w:rsidRPr="00EB75E1" w:rsidRDefault="006E488C" w:rsidP="00422020">
            <w:pPr>
              <w:tabs>
                <w:tab w:val="left" w:pos="3930"/>
              </w:tabs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13422828" w14:textId="77777777" w:rsidTr="00893E3E">
        <w:trPr>
          <w:cantSplit/>
        </w:trPr>
        <w:tc>
          <w:tcPr>
            <w:tcW w:w="1575" w:type="dxa"/>
          </w:tcPr>
          <w:p w14:paraId="191F4C7B" w14:textId="084EE862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34EA9D2F" w14:textId="77777777" w:rsidR="00422020" w:rsidRDefault="00274105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Contractor Requirements: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B26E97">
              <w:rPr>
                <w:rFonts w:ascii="Garamond" w:hAnsi="Garamond"/>
                <w:b/>
                <w:bCs/>
                <w:sz w:val="22"/>
                <w:szCs w:val="22"/>
              </w:rPr>
              <w:t>Regulatory Compliance &amp; Quality Assurance</w:t>
            </w:r>
          </w:p>
          <w:p w14:paraId="60C5CFEA" w14:textId="4D8AAAA8" w:rsidR="00B26E97" w:rsidRPr="00AF62AC" w:rsidRDefault="00B26E97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3874F50B" w14:textId="77777777" w:rsidR="000D5923" w:rsidRDefault="00176FB6" w:rsidP="00C41595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</w:t>
            </w:r>
            <w:r w:rsidR="551A5376" w:rsidRPr="00EB75E1">
              <w:rPr>
                <w:rFonts w:ascii="Garamond" w:hAnsi="Garamond"/>
                <w:sz w:val="22"/>
                <w:szCs w:val="22"/>
              </w:rPr>
              <w:t xml:space="preserve">a </w:t>
            </w:r>
            <w:r w:rsidR="006B02A9" w:rsidRPr="00EB75E1">
              <w:rPr>
                <w:rFonts w:ascii="Garamond" w:hAnsi="Garamond"/>
                <w:sz w:val="22"/>
                <w:szCs w:val="22"/>
              </w:rPr>
              <w:t>description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regarding how it will meet and address the requirements shared in</w:t>
            </w:r>
            <w:r w:rsidR="00DB4E2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B4E2D">
              <w:rPr>
                <w:rFonts w:ascii="Garamond" w:hAnsi="Garamond"/>
                <w:sz w:val="22"/>
                <w:szCs w:val="22"/>
              </w:rPr>
              <w:t>Contractor Requirements, Section</w:t>
            </w:r>
            <w:r w:rsidR="00DB4E2D">
              <w:rPr>
                <w:rFonts w:ascii="Garamond" w:hAnsi="Garamond"/>
                <w:sz w:val="22"/>
                <w:szCs w:val="22"/>
              </w:rPr>
              <w:t xml:space="preserve"> E</w:t>
            </w:r>
            <w:r w:rsidR="000D5923">
              <w:rPr>
                <w:rFonts w:ascii="Garamond" w:hAnsi="Garamond"/>
                <w:sz w:val="22"/>
                <w:szCs w:val="22"/>
              </w:rPr>
              <w:t xml:space="preserve">: </w:t>
            </w:r>
            <w:r w:rsidR="006701C9">
              <w:rPr>
                <w:rFonts w:ascii="Garamond" w:hAnsi="Garamond"/>
                <w:sz w:val="22"/>
                <w:szCs w:val="22"/>
              </w:rPr>
              <w:t xml:space="preserve">Regulatory Compliance &amp; Quality Assurance </w:t>
            </w:r>
            <w:r w:rsidR="006701C9" w:rsidRPr="006701C9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6701C9">
              <w:rPr>
                <w:rFonts w:ascii="Garamond" w:hAnsi="Garamond"/>
                <w:sz w:val="22"/>
                <w:szCs w:val="22"/>
              </w:rPr>
              <w:t xml:space="preserve"> RFP. </w:t>
            </w:r>
          </w:p>
          <w:p w14:paraId="1FC63DEB" w14:textId="1F454026" w:rsidR="006E488C" w:rsidRPr="00EB75E1" w:rsidRDefault="006E488C" w:rsidP="00C41595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3326CEDB" w14:textId="77777777" w:rsidTr="00893E3E">
        <w:trPr>
          <w:cantSplit/>
        </w:trPr>
        <w:tc>
          <w:tcPr>
            <w:tcW w:w="1575" w:type="dxa"/>
          </w:tcPr>
          <w:p w14:paraId="6C0B3A74" w14:textId="66A2D0E6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250" w:type="dxa"/>
          </w:tcPr>
          <w:p w14:paraId="17409F05" w14:textId="77777777" w:rsidR="00422020" w:rsidRDefault="00274105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Contractor Requirements: </w:t>
            </w:r>
            <w:r w:rsidR="00B26E97">
              <w:rPr>
                <w:rFonts w:ascii="Garamond" w:hAnsi="Garamond"/>
                <w:b/>
                <w:bCs/>
                <w:sz w:val="22"/>
                <w:szCs w:val="22"/>
              </w:rPr>
              <w:t>Reporting &amp; Documentation</w:t>
            </w:r>
          </w:p>
          <w:p w14:paraId="05CE6FA0" w14:textId="6E682267" w:rsidR="00B26E97" w:rsidRPr="00AF62AC" w:rsidRDefault="00B26E97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447D271B" w14:textId="77777777" w:rsidR="000D5923" w:rsidRDefault="00176FB6" w:rsidP="00C41595">
            <w:pPr>
              <w:rPr>
                <w:rFonts w:ascii="Garamond" w:hAnsi="Garamond"/>
                <w:sz w:val="22"/>
                <w:szCs w:val="22"/>
              </w:rPr>
            </w:pPr>
            <w:bookmarkStart w:id="0" w:name="_gjdgxs" w:colFirst="0" w:colLast="0"/>
            <w:bookmarkEnd w:id="0"/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0D5923">
              <w:rPr>
                <w:rFonts w:ascii="Garamond" w:hAnsi="Garamond"/>
                <w:sz w:val="22"/>
                <w:szCs w:val="22"/>
              </w:rPr>
              <w:t>Contractor Requirements, Section</w:t>
            </w:r>
            <w:r w:rsidR="000D5923">
              <w:rPr>
                <w:rFonts w:ascii="Garamond" w:hAnsi="Garamond"/>
                <w:sz w:val="22"/>
                <w:szCs w:val="22"/>
              </w:rPr>
              <w:t xml:space="preserve"> F:</w:t>
            </w:r>
            <w:r w:rsidR="00C41595">
              <w:rPr>
                <w:rFonts w:ascii="Garamond" w:hAnsi="Garamond"/>
                <w:sz w:val="22"/>
                <w:szCs w:val="22"/>
              </w:rPr>
              <w:t xml:space="preserve"> Reporting &amp; Documentation </w:t>
            </w:r>
            <w:r w:rsidR="00C41595" w:rsidRPr="00C41595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C41595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5B9D0DC9" w14:textId="39D77BE0" w:rsidR="006E488C" w:rsidRPr="00EB75E1" w:rsidRDefault="006E488C" w:rsidP="00C41595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043C4A3E" w14:textId="77777777" w:rsidTr="00893E3E">
        <w:trPr>
          <w:cantSplit/>
        </w:trPr>
        <w:tc>
          <w:tcPr>
            <w:tcW w:w="1575" w:type="dxa"/>
          </w:tcPr>
          <w:p w14:paraId="54EB529E" w14:textId="7BE863A7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250" w:type="dxa"/>
          </w:tcPr>
          <w:p w14:paraId="381ABEB8" w14:textId="7868A03E" w:rsidR="00422020" w:rsidRDefault="00274105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Contractor Requirements: </w:t>
            </w:r>
            <w:r w:rsidR="00B26E97">
              <w:rPr>
                <w:rFonts w:ascii="Garamond" w:hAnsi="Garamond"/>
                <w:b/>
                <w:bCs/>
                <w:sz w:val="22"/>
                <w:szCs w:val="22"/>
              </w:rPr>
              <w:t>Financial &amp; Billing Management</w:t>
            </w:r>
          </w:p>
          <w:p w14:paraId="13F643F4" w14:textId="6B916D63" w:rsidR="00B26E97" w:rsidRPr="00AF62AC" w:rsidRDefault="00B26E97" w:rsidP="00422020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351" w:type="dxa"/>
          </w:tcPr>
          <w:p w14:paraId="0E0732AA" w14:textId="77777777" w:rsidR="00422020" w:rsidRDefault="00176FB6" w:rsidP="006C6A29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0D5923">
              <w:rPr>
                <w:rFonts w:ascii="Garamond" w:hAnsi="Garamond"/>
                <w:sz w:val="22"/>
                <w:szCs w:val="22"/>
              </w:rPr>
              <w:t>Contractor Requirements, Section</w:t>
            </w:r>
            <w:r w:rsidR="000D5923">
              <w:rPr>
                <w:rFonts w:ascii="Garamond" w:hAnsi="Garamond"/>
                <w:sz w:val="22"/>
                <w:szCs w:val="22"/>
              </w:rPr>
              <w:t xml:space="preserve"> G: </w:t>
            </w:r>
            <w:r w:rsidR="00B52683">
              <w:rPr>
                <w:rFonts w:ascii="Garamond" w:hAnsi="Garamond"/>
                <w:sz w:val="22"/>
                <w:szCs w:val="22"/>
              </w:rPr>
              <w:t xml:space="preserve">Financial &amp; Billing Management </w:t>
            </w:r>
            <w:r w:rsidR="00B52683" w:rsidRPr="00B52683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B52683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44622543" w14:textId="03E98A9B" w:rsidR="006E488C" w:rsidRPr="00EB75E1" w:rsidRDefault="006E488C" w:rsidP="006C6A29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51FD2330" w14:textId="77777777" w:rsidTr="00893E3E">
        <w:trPr>
          <w:cantSplit/>
        </w:trPr>
        <w:tc>
          <w:tcPr>
            <w:tcW w:w="1575" w:type="dxa"/>
          </w:tcPr>
          <w:p w14:paraId="17F8EA44" w14:textId="5224C024" w:rsidR="007E5129" w:rsidRPr="00AF62AC" w:rsidRDefault="007E5129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250" w:type="dxa"/>
          </w:tcPr>
          <w:p w14:paraId="20E08762" w14:textId="10EF27E1" w:rsidR="007E5129" w:rsidRPr="00AF62AC" w:rsidRDefault="00274105" w:rsidP="00EB75E1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Contractor Requirements: </w:t>
            </w:r>
            <w:r w:rsidR="00B26E97">
              <w:rPr>
                <w:rFonts w:ascii="Garamond" w:hAnsi="Garamond"/>
                <w:b/>
                <w:bCs/>
                <w:sz w:val="22"/>
                <w:szCs w:val="22"/>
              </w:rPr>
              <w:t>Travel</w:t>
            </w:r>
          </w:p>
        </w:tc>
        <w:tc>
          <w:tcPr>
            <w:tcW w:w="9351" w:type="dxa"/>
          </w:tcPr>
          <w:p w14:paraId="1492AC9A" w14:textId="77777777" w:rsidR="002070CD" w:rsidRDefault="007E5129" w:rsidP="00B52683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0D5923">
              <w:rPr>
                <w:rFonts w:ascii="Garamond" w:hAnsi="Garamond"/>
                <w:sz w:val="22"/>
                <w:szCs w:val="22"/>
              </w:rPr>
              <w:t>Contractor Requirements, Section</w:t>
            </w:r>
            <w:r w:rsidR="002070CD">
              <w:rPr>
                <w:rFonts w:ascii="Garamond" w:hAnsi="Garamond"/>
                <w:sz w:val="22"/>
                <w:szCs w:val="22"/>
              </w:rPr>
              <w:t xml:space="preserve"> H:</w:t>
            </w:r>
            <w:r w:rsidR="00B52683">
              <w:rPr>
                <w:rFonts w:ascii="Garamond" w:hAnsi="Garamond"/>
                <w:sz w:val="22"/>
                <w:szCs w:val="22"/>
              </w:rPr>
              <w:t xml:space="preserve"> Travel </w:t>
            </w:r>
            <w:r w:rsidR="00B52683" w:rsidRPr="00B52683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B52683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60B67040" w14:textId="234F4D56" w:rsidR="006E488C" w:rsidRPr="00EB75E1" w:rsidRDefault="006E488C" w:rsidP="00B5268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296A75EA" w14:textId="77777777" w:rsidTr="00893E3E">
        <w:trPr>
          <w:cantSplit/>
        </w:trPr>
        <w:tc>
          <w:tcPr>
            <w:tcW w:w="1575" w:type="dxa"/>
          </w:tcPr>
          <w:p w14:paraId="10734B8D" w14:textId="071AE97C" w:rsidR="007E5129" w:rsidRPr="00AF62AC" w:rsidRDefault="007E5129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250" w:type="dxa"/>
          </w:tcPr>
          <w:p w14:paraId="7BACC6CB" w14:textId="41E0A3CE" w:rsidR="007E5129" w:rsidRPr="00AF62AC" w:rsidRDefault="00C30E17" w:rsidP="000952E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076D8B">
              <w:rPr>
                <w:rFonts w:ascii="Garamond" w:hAnsi="Garamond"/>
                <w:b/>
                <w:bCs/>
                <w:sz w:val="22"/>
                <w:szCs w:val="22"/>
              </w:rPr>
              <w:t>Operational Efficiency</w:t>
            </w:r>
          </w:p>
          <w:p w14:paraId="32260C82" w14:textId="77777777" w:rsidR="007E5129" w:rsidRPr="00AF62AC" w:rsidRDefault="007E5129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292B560C" w14:textId="77777777" w:rsidR="007E5129" w:rsidRDefault="007E5129" w:rsidP="006B072D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2070CD">
              <w:rPr>
                <w:rFonts w:ascii="Garamond" w:hAnsi="Garamond"/>
                <w:sz w:val="22"/>
                <w:szCs w:val="22"/>
              </w:rPr>
              <w:t>Adaptability and Change Management, Section</w:t>
            </w:r>
            <w:r w:rsidR="00365F9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07FA5">
              <w:rPr>
                <w:rFonts w:ascii="Garamond" w:hAnsi="Garamond"/>
                <w:sz w:val="22"/>
                <w:szCs w:val="22"/>
              </w:rPr>
              <w:t xml:space="preserve">A: Operational Efficiency </w:t>
            </w:r>
            <w:r w:rsidR="00107FA5" w:rsidRPr="00107FA5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107FA5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78BA981D" w14:textId="5223CCB0" w:rsidR="006E488C" w:rsidRPr="00EB75E1" w:rsidRDefault="006E488C" w:rsidP="006B072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B80A02" w:rsidRPr="00AF62AC" w14:paraId="0A988076" w14:textId="77777777" w:rsidTr="00893E3E">
        <w:trPr>
          <w:cantSplit/>
        </w:trPr>
        <w:tc>
          <w:tcPr>
            <w:tcW w:w="1575" w:type="dxa"/>
          </w:tcPr>
          <w:p w14:paraId="60014A22" w14:textId="657346E8" w:rsidR="007E5129" w:rsidRPr="00AF62AC" w:rsidRDefault="007E5129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2250" w:type="dxa"/>
          </w:tcPr>
          <w:p w14:paraId="6570E630" w14:textId="15922B49" w:rsidR="00C30E17" w:rsidRPr="00AF62AC" w:rsidRDefault="00C30E17" w:rsidP="00C30E1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076D8B">
              <w:rPr>
                <w:rFonts w:ascii="Garamond" w:hAnsi="Garamond"/>
                <w:b/>
                <w:bCs/>
                <w:sz w:val="22"/>
                <w:szCs w:val="22"/>
              </w:rPr>
              <w:t>Regulatory Adjustments</w:t>
            </w:r>
          </w:p>
          <w:p w14:paraId="2C85F503" w14:textId="079E7811" w:rsidR="007E5129" w:rsidRPr="00AF62AC" w:rsidRDefault="007E5129" w:rsidP="007E512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5C63C211" w14:textId="77777777" w:rsidR="00365F98" w:rsidRDefault="007E5129" w:rsidP="00551372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365F98">
              <w:rPr>
                <w:rFonts w:ascii="Garamond" w:hAnsi="Garamond"/>
                <w:sz w:val="22"/>
                <w:szCs w:val="22"/>
              </w:rPr>
              <w:t>Adaptability and Change Management, Section</w:t>
            </w:r>
            <w:r w:rsidR="00107FA5">
              <w:rPr>
                <w:rFonts w:ascii="Garamond" w:hAnsi="Garamond"/>
                <w:sz w:val="22"/>
                <w:szCs w:val="22"/>
              </w:rPr>
              <w:t xml:space="preserve"> B: Regulatory Adjustments </w:t>
            </w:r>
            <w:r w:rsidR="00107FA5" w:rsidRPr="00107FA5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107FA5">
              <w:rPr>
                <w:rFonts w:ascii="Garamond" w:hAnsi="Garamond"/>
                <w:sz w:val="22"/>
                <w:szCs w:val="22"/>
              </w:rPr>
              <w:t xml:space="preserve"> RFP. </w:t>
            </w:r>
          </w:p>
          <w:p w14:paraId="2A1534D4" w14:textId="2F17C407" w:rsidR="006E488C" w:rsidRPr="00EB75E1" w:rsidRDefault="006E488C" w:rsidP="00551372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F554B7" w:rsidRPr="00AF62AC" w14:paraId="20B16C96" w14:textId="77777777" w:rsidTr="00893E3E">
        <w:trPr>
          <w:cantSplit/>
        </w:trPr>
        <w:tc>
          <w:tcPr>
            <w:tcW w:w="1575" w:type="dxa"/>
          </w:tcPr>
          <w:p w14:paraId="274A1A75" w14:textId="2E284768" w:rsidR="00F554B7" w:rsidRPr="00AF62AC" w:rsidRDefault="00EA0016" w:rsidP="007E512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250" w:type="dxa"/>
          </w:tcPr>
          <w:p w14:paraId="0C55B134" w14:textId="65764D72" w:rsidR="00C30E17" w:rsidRPr="00AF62AC" w:rsidRDefault="00C30E17" w:rsidP="00C30E1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076D8B">
              <w:rPr>
                <w:rFonts w:ascii="Garamond" w:hAnsi="Garamond"/>
                <w:b/>
                <w:bCs/>
                <w:sz w:val="22"/>
                <w:szCs w:val="22"/>
              </w:rPr>
              <w:t>Technological Adv</w:t>
            </w:r>
            <w:r w:rsidR="00756C01">
              <w:rPr>
                <w:rFonts w:ascii="Garamond" w:hAnsi="Garamond"/>
                <w:b/>
                <w:bCs/>
                <w:sz w:val="22"/>
                <w:szCs w:val="22"/>
              </w:rPr>
              <w:t>ancements</w:t>
            </w:r>
          </w:p>
          <w:p w14:paraId="60E5BF5C" w14:textId="049968CA" w:rsidR="00F554B7" w:rsidRPr="00EB75E1" w:rsidRDefault="00F554B7" w:rsidP="007E512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85D0907" w14:textId="77777777" w:rsidR="00365F98" w:rsidRDefault="00EA0016" w:rsidP="00376EBC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365F98">
              <w:rPr>
                <w:rFonts w:ascii="Garamond" w:hAnsi="Garamond"/>
                <w:sz w:val="22"/>
                <w:szCs w:val="22"/>
              </w:rPr>
              <w:t>Adaptability and Change Management, Section</w:t>
            </w:r>
            <w:r w:rsidR="00551372">
              <w:rPr>
                <w:rFonts w:ascii="Garamond" w:hAnsi="Garamond"/>
                <w:sz w:val="22"/>
                <w:szCs w:val="22"/>
              </w:rPr>
              <w:t xml:space="preserve"> C: Technological Advancements </w:t>
            </w:r>
            <w:r w:rsidR="00E07288" w:rsidRPr="00E07288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E07288">
              <w:rPr>
                <w:rFonts w:ascii="Garamond" w:hAnsi="Garamond"/>
                <w:sz w:val="22"/>
                <w:szCs w:val="22"/>
              </w:rPr>
              <w:t xml:space="preserve"> RFP. </w:t>
            </w:r>
          </w:p>
          <w:p w14:paraId="68EB29DA" w14:textId="60624FC3" w:rsidR="006E488C" w:rsidRPr="00EB75E1" w:rsidRDefault="006E488C" w:rsidP="00376EBC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2A55D2EB" w14:paraId="3C58353B" w14:textId="77777777" w:rsidTr="00893E3E">
        <w:trPr>
          <w:cantSplit/>
          <w:trHeight w:val="300"/>
        </w:trPr>
        <w:tc>
          <w:tcPr>
            <w:tcW w:w="1575" w:type="dxa"/>
          </w:tcPr>
          <w:p w14:paraId="11760056" w14:textId="6D3CE8E0" w:rsidR="49E2F3C4" w:rsidRDefault="00EA0016" w:rsidP="006F6E0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250" w:type="dxa"/>
          </w:tcPr>
          <w:p w14:paraId="268C6585" w14:textId="050C2799" w:rsidR="00C30E17" w:rsidRPr="00AF62AC" w:rsidRDefault="00C30E17" w:rsidP="00C30E1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756C01">
              <w:rPr>
                <w:rFonts w:ascii="Garamond" w:hAnsi="Garamond"/>
                <w:b/>
                <w:bCs/>
                <w:sz w:val="22"/>
                <w:szCs w:val="22"/>
              </w:rPr>
              <w:t>Performance-Based Staffing</w:t>
            </w:r>
          </w:p>
          <w:p w14:paraId="6F1AE949" w14:textId="7D32F275" w:rsidR="49E2F3C4" w:rsidRDefault="49E2F3C4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1940142E" w14:textId="77777777" w:rsidR="00365F98" w:rsidRDefault="49E2F3C4" w:rsidP="00376EBC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 xml:space="preserve">The Respondent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must provide a description regarding how it will meet and address the requirements shared in </w:t>
            </w:r>
            <w:r w:rsidR="00365F98">
              <w:rPr>
                <w:rFonts w:ascii="Garamond" w:hAnsi="Garamond"/>
                <w:sz w:val="22"/>
                <w:szCs w:val="22"/>
              </w:rPr>
              <w:t>Adaptability and Change Management, Section</w:t>
            </w:r>
            <w:r w:rsidR="00E07288">
              <w:rPr>
                <w:rFonts w:ascii="Garamond" w:hAnsi="Garamond"/>
                <w:sz w:val="22"/>
                <w:szCs w:val="22"/>
              </w:rPr>
              <w:t xml:space="preserve"> D: Performance-Based Staffing</w:t>
            </w:r>
            <w:r w:rsidR="00376EB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76EBC" w:rsidRPr="00376EBC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376EBC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1A3D6680" w14:textId="712CBC10" w:rsidR="006E488C" w:rsidRDefault="006E488C" w:rsidP="00376EBC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2A55D2EB" w14:paraId="28F456EC" w14:textId="77777777" w:rsidTr="00893E3E">
        <w:trPr>
          <w:cantSplit/>
          <w:trHeight w:val="300"/>
        </w:trPr>
        <w:tc>
          <w:tcPr>
            <w:tcW w:w="1575" w:type="dxa"/>
          </w:tcPr>
          <w:p w14:paraId="55795943" w14:textId="38157B71" w:rsidR="49E2F3C4" w:rsidRDefault="49E2F3C4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EA0016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0187277E" w14:textId="3F4CF622" w:rsidR="00C30E17" w:rsidRPr="00AF62AC" w:rsidRDefault="00C30E17" w:rsidP="00C30E1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756C01">
              <w:rPr>
                <w:rFonts w:ascii="Garamond" w:hAnsi="Garamond"/>
                <w:b/>
                <w:bCs/>
                <w:sz w:val="22"/>
                <w:szCs w:val="22"/>
              </w:rPr>
              <w:t>Periodic Review &amp; Adjustments</w:t>
            </w:r>
          </w:p>
          <w:p w14:paraId="0DBE2573" w14:textId="186F511B" w:rsidR="49E2F3C4" w:rsidRDefault="49E2F3C4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55ED8EB0" w14:textId="77777777" w:rsidR="49E2F3C4" w:rsidRDefault="49E2F3C4" w:rsidP="2A55D2EB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</w:t>
            </w:r>
            <w:r w:rsidR="00365F9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65F98">
              <w:rPr>
                <w:rFonts w:ascii="Garamond" w:hAnsi="Garamond"/>
                <w:sz w:val="22"/>
                <w:szCs w:val="22"/>
              </w:rPr>
              <w:t>Adaptability and Change Management, Section</w:t>
            </w:r>
            <w:r w:rsidR="00491231">
              <w:rPr>
                <w:rFonts w:ascii="Garamond" w:hAnsi="Garamond"/>
                <w:sz w:val="22"/>
                <w:szCs w:val="22"/>
              </w:rPr>
              <w:t xml:space="preserve"> E: Periodic Review &amp; Adjustments </w:t>
            </w:r>
            <w:r w:rsidR="00491231" w:rsidRPr="00491231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491231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7AAC87AC" w14:textId="22EF1001" w:rsidR="006E488C" w:rsidRDefault="006E488C" w:rsidP="2A55D2EB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2A55D2EB" w14:paraId="176E5297" w14:textId="77777777" w:rsidTr="00893E3E">
        <w:trPr>
          <w:cantSplit/>
          <w:trHeight w:val="300"/>
        </w:trPr>
        <w:tc>
          <w:tcPr>
            <w:tcW w:w="1575" w:type="dxa"/>
          </w:tcPr>
          <w:p w14:paraId="23BA1A07" w14:textId="0A9F5487" w:rsidR="49E2F3C4" w:rsidRDefault="49E2F3C4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A55D2EB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EA0016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11811F84" w14:textId="150C28EA" w:rsidR="00C30E17" w:rsidRPr="00AF62AC" w:rsidRDefault="00C30E17" w:rsidP="00C30E1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756C01">
              <w:rPr>
                <w:rFonts w:ascii="Garamond" w:hAnsi="Garamond"/>
                <w:b/>
                <w:bCs/>
                <w:sz w:val="22"/>
                <w:szCs w:val="22"/>
              </w:rPr>
              <w:t>Notification &amp; Approval Process</w:t>
            </w:r>
          </w:p>
          <w:p w14:paraId="156AA6E4" w14:textId="3A84BE31" w:rsidR="49E2F3C4" w:rsidRDefault="49E2F3C4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5D7FE724" w14:textId="77777777" w:rsidR="00F4613D" w:rsidRDefault="49E2F3C4" w:rsidP="00E5414A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 xml:space="preserve">The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Respondent must provide a description regarding how it will meet and address the requirements shared in </w:t>
            </w:r>
            <w:r w:rsidR="00F4613D">
              <w:rPr>
                <w:rFonts w:ascii="Garamond" w:hAnsi="Garamond"/>
                <w:sz w:val="22"/>
                <w:szCs w:val="22"/>
              </w:rPr>
              <w:t>Adaptability and Change Management, Section</w:t>
            </w:r>
            <w:r w:rsidR="00F4613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5414A">
              <w:rPr>
                <w:rFonts w:ascii="Garamond" w:hAnsi="Garamond"/>
                <w:sz w:val="22"/>
                <w:szCs w:val="22"/>
              </w:rPr>
              <w:t xml:space="preserve">F: Notification &amp; Approval Process </w:t>
            </w:r>
            <w:r w:rsidR="00E5414A" w:rsidRPr="00E5414A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E5414A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026ED66A" w14:textId="1A397EC7" w:rsidR="006E488C" w:rsidRDefault="006E488C" w:rsidP="00E5414A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F4613D" w14:paraId="367A45EE" w14:textId="77777777" w:rsidTr="00893E3E">
        <w:trPr>
          <w:cantSplit/>
          <w:trHeight w:val="300"/>
        </w:trPr>
        <w:tc>
          <w:tcPr>
            <w:tcW w:w="1575" w:type="dxa"/>
          </w:tcPr>
          <w:p w14:paraId="52D11154" w14:textId="37D910A7" w:rsidR="00F4613D" w:rsidRDefault="00766FA8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2250" w:type="dxa"/>
          </w:tcPr>
          <w:p w14:paraId="7D281FD8" w14:textId="76BAD765" w:rsidR="00C30E17" w:rsidRPr="00AF62AC" w:rsidRDefault="00C30E17" w:rsidP="00C30E1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756C01">
              <w:rPr>
                <w:rFonts w:ascii="Garamond" w:hAnsi="Garamond"/>
                <w:b/>
                <w:bCs/>
                <w:sz w:val="22"/>
                <w:szCs w:val="22"/>
              </w:rPr>
              <w:t>Cost Containment &amp; Effi</w:t>
            </w:r>
            <w:r w:rsidR="00EA340E">
              <w:rPr>
                <w:rFonts w:ascii="Garamond" w:hAnsi="Garamond"/>
                <w:b/>
                <w:bCs/>
                <w:sz w:val="22"/>
                <w:szCs w:val="22"/>
              </w:rPr>
              <w:t>ciency</w:t>
            </w:r>
          </w:p>
          <w:p w14:paraId="3992B22F" w14:textId="77777777" w:rsidR="00F4613D" w:rsidRPr="006F6E0B" w:rsidRDefault="00F4613D" w:rsidP="006F6E0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8713D6B" w14:textId="77777777" w:rsidR="00F4613D" w:rsidRDefault="00F4613D" w:rsidP="007767A4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 xml:space="preserve">The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Respondent must provide a description regarding how it will meet and address the requirements shared in </w:t>
            </w:r>
            <w:r>
              <w:rPr>
                <w:rFonts w:ascii="Garamond" w:hAnsi="Garamond"/>
                <w:sz w:val="22"/>
                <w:szCs w:val="22"/>
              </w:rPr>
              <w:t xml:space="preserve">Adaptability and Change Management, Section </w:t>
            </w:r>
            <w:r w:rsidR="007767A4">
              <w:rPr>
                <w:rFonts w:ascii="Garamond" w:hAnsi="Garamond"/>
                <w:sz w:val="22"/>
                <w:szCs w:val="22"/>
              </w:rPr>
              <w:t xml:space="preserve">G: Cost Containment &amp; Efficiency </w:t>
            </w:r>
            <w:r w:rsidR="007767A4" w:rsidRPr="007767A4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7767A4">
              <w:rPr>
                <w:rFonts w:ascii="Garamond" w:hAnsi="Garamond"/>
                <w:sz w:val="22"/>
                <w:szCs w:val="22"/>
              </w:rPr>
              <w:t xml:space="preserve"> RFP. </w:t>
            </w:r>
          </w:p>
          <w:p w14:paraId="4BCA99C7" w14:textId="03E542AA" w:rsidR="006E488C" w:rsidRPr="006F6E0B" w:rsidRDefault="006E488C" w:rsidP="007767A4">
            <w:pPr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F4613D" w14:paraId="5AF1F792" w14:textId="77777777" w:rsidTr="00893E3E">
        <w:trPr>
          <w:cantSplit/>
          <w:trHeight w:val="300"/>
        </w:trPr>
        <w:tc>
          <w:tcPr>
            <w:tcW w:w="1575" w:type="dxa"/>
          </w:tcPr>
          <w:p w14:paraId="31EDDDDF" w14:textId="205D888A" w:rsidR="00F4613D" w:rsidRDefault="00766FA8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250" w:type="dxa"/>
          </w:tcPr>
          <w:p w14:paraId="3866D2EC" w14:textId="4C9D4850" w:rsidR="00C30E17" w:rsidRPr="00AF62AC" w:rsidRDefault="00C30E17" w:rsidP="00C30E1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Adaptability and Change Management: </w:t>
            </w:r>
            <w:r w:rsidR="00EA340E">
              <w:rPr>
                <w:rFonts w:ascii="Garamond" w:hAnsi="Garamond"/>
                <w:b/>
                <w:bCs/>
                <w:sz w:val="22"/>
                <w:szCs w:val="22"/>
              </w:rPr>
              <w:t>Continuous Growth &amp; Innovation</w:t>
            </w:r>
          </w:p>
          <w:p w14:paraId="0D6570B5" w14:textId="77777777" w:rsidR="00F4613D" w:rsidRPr="006F6E0B" w:rsidRDefault="00F4613D" w:rsidP="006F6E0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0542192D" w14:textId="77777777" w:rsidR="00F4613D" w:rsidRDefault="00F4613D" w:rsidP="006E488C">
            <w:pPr>
              <w:rPr>
                <w:rFonts w:ascii="Garamond" w:hAnsi="Garamond"/>
                <w:sz w:val="22"/>
                <w:szCs w:val="22"/>
              </w:rPr>
            </w:pPr>
            <w:r w:rsidRPr="2A55D2EB">
              <w:rPr>
                <w:rFonts w:ascii="Garamond" w:hAnsi="Garamond"/>
                <w:sz w:val="22"/>
                <w:szCs w:val="22"/>
              </w:rPr>
              <w:t xml:space="preserve">The </w:t>
            </w:r>
            <w:r w:rsidRPr="00DB5A59">
              <w:rPr>
                <w:rFonts w:ascii="Garamond" w:hAnsi="Garamond"/>
                <w:sz w:val="22"/>
                <w:szCs w:val="22"/>
              </w:rPr>
              <w:t xml:space="preserve">Respondent must provide a description regarding how it will meet and address the requirements shared in </w:t>
            </w:r>
            <w:r>
              <w:rPr>
                <w:rFonts w:ascii="Garamond" w:hAnsi="Garamond"/>
                <w:sz w:val="22"/>
                <w:szCs w:val="22"/>
              </w:rPr>
              <w:t xml:space="preserve">Adaptability and Change Management, Section </w:t>
            </w:r>
            <w:r w:rsidR="007767A4">
              <w:rPr>
                <w:rFonts w:ascii="Garamond" w:hAnsi="Garamond"/>
                <w:sz w:val="22"/>
                <w:szCs w:val="22"/>
              </w:rPr>
              <w:t xml:space="preserve">H: Continuous Growth &amp; Innovation </w:t>
            </w:r>
            <w:r w:rsidR="007767A4" w:rsidRPr="007767A4">
              <w:rPr>
                <w:rFonts w:ascii="Garamond" w:hAnsi="Garamond"/>
                <w:sz w:val="22"/>
                <w:szCs w:val="22"/>
              </w:rPr>
              <w:t>from the Scope of Work document for this</w:t>
            </w:r>
            <w:r w:rsidR="007767A4">
              <w:rPr>
                <w:rFonts w:ascii="Garamond" w:hAnsi="Garamond"/>
                <w:sz w:val="22"/>
                <w:szCs w:val="22"/>
              </w:rPr>
              <w:t xml:space="preserve"> RFP.</w:t>
            </w:r>
          </w:p>
          <w:p w14:paraId="07A1882E" w14:textId="2AD4E4BE" w:rsidR="006E488C" w:rsidRPr="006F6E0B" w:rsidRDefault="006E488C" w:rsidP="006E488C">
            <w:pPr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B2720D" w14:paraId="6637808C" w14:textId="77777777" w:rsidTr="00076D8B">
        <w:trPr>
          <w:cantSplit/>
          <w:trHeight w:val="300"/>
        </w:trPr>
        <w:tc>
          <w:tcPr>
            <w:tcW w:w="1575" w:type="dxa"/>
          </w:tcPr>
          <w:p w14:paraId="1201A38C" w14:textId="23F86709" w:rsidR="00B2720D" w:rsidRPr="2A55D2EB" w:rsidRDefault="00EA0016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766FA8">
              <w:rPr>
                <w:rFonts w:ascii="Garamond" w:hAnsi="Garamond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250" w:type="dxa"/>
          </w:tcPr>
          <w:p w14:paraId="081C02A5" w14:textId="763AD8F9" w:rsidR="00B2720D" w:rsidRPr="006F6E0B" w:rsidRDefault="00B2720D" w:rsidP="006F6E0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F6E0B">
              <w:rPr>
                <w:rFonts w:ascii="Garamond" w:hAnsi="Garamond"/>
                <w:b/>
                <w:bCs/>
                <w:sz w:val="22"/>
                <w:szCs w:val="22"/>
              </w:rPr>
              <w:t>General Overall Assumptions</w:t>
            </w:r>
          </w:p>
          <w:p w14:paraId="63EBFE96" w14:textId="77777777" w:rsidR="00B2720D" w:rsidRPr="006F6E0B" w:rsidRDefault="00B2720D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F929A54" w14:textId="0247933B" w:rsidR="00B2720D" w:rsidRPr="006F6E0B" w:rsidRDefault="00B2720D" w:rsidP="006F6E0B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What assumptions and constraints </w:t>
            </w:r>
            <w:r w:rsidR="006F6E0B" w:rsidRPr="006F6E0B">
              <w:rPr>
                <w:rFonts w:ascii="Garamond" w:hAnsi="Garamond" w:cstheme="minorHAnsi"/>
                <w:sz w:val="22"/>
                <w:szCs w:val="22"/>
              </w:rPr>
              <w:t>have</w:t>
            </w: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 your company made in responding to the technical proposal</w:t>
            </w:r>
            <w:r w:rsidR="00766FA8">
              <w:rPr>
                <w:rFonts w:ascii="Garamond" w:hAnsi="Garamond" w:cstheme="minorHAnsi"/>
                <w:sz w:val="22"/>
                <w:szCs w:val="22"/>
              </w:rPr>
              <w:t>?</w:t>
            </w: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 This should include assumptions made based on the scope of work outlined in the </w:t>
            </w:r>
            <w:r w:rsidR="00AB7481">
              <w:rPr>
                <w:rFonts w:ascii="Garamond" w:hAnsi="Garamond" w:cstheme="minorHAnsi"/>
                <w:sz w:val="22"/>
                <w:szCs w:val="22"/>
              </w:rPr>
              <w:t>RF</w:t>
            </w:r>
            <w:r w:rsidR="00766FA8">
              <w:rPr>
                <w:rFonts w:ascii="Garamond" w:hAnsi="Garamond" w:cstheme="minorHAnsi"/>
                <w:sz w:val="22"/>
                <w:szCs w:val="22"/>
              </w:rPr>
              <w:t>P</w:t>
            </w:r>
            <w:r w:rsidR="003B3CB8" w:rsidRPr="006F6E0B">
              <w:rPr>
                <w:rFonts w:ascii="Garamond" w:hAnsi="Garamond" w:cstheme="minorHAnsi"/>
                <w:sz w:val="22"/>
                <w:szCs w:val="22"/>
              </w:rPr>
              <w:t xml:space="preserve"> and assumptions regarding </w:t>
            </w:r>
            <w:r w:rsidR="00E02CA7" w:rsidRPr="006F6E0B">
              <w:rPr>
                <w:rFonts w:ascii="Garamond" w:hAnsi="Garamond" w:cstheme="minorHAnsi"/>
                <w:sz w:val="22"/>
                <w:szCs w:val="22"/>
              </w:rPr>
              <w:t xml:space="preserve">the resources available from the State for this </w:t>
            </w:r>
            <w:r w:rsidR="005A65C4" w:rsidRPr="006F6E0B">
              <w:rPr>
                <w:rFonts w:ascii="Garamond" w:hAnsi="Garamond" w:cstheme="minorHAnsi"/>
                <w:sz w:val="22"/>
                <w:szCs w:val="22"/>
              </w:rPr>
              <w:t>scope of work.</w:t>
            </w:r>
          </w:p>
        </w:tc>
      </w:tr>
    </w:tbl>
    <w:p w14:paraId="07727A9D" w14:textId="77777777" w:rsidR="00DA0C46" w:rsidRPr="00AF62AC" w:rsidRDefault="00DA0C46">
      <w:pPr>
        <w:rPr>
          <w:rFonts w:ascii="Garamond" w:eastAsia="Times New Roman" w:hAnsi="Garamond" w:cs="Times New Roman"/>
          <w:sz w:val="22"/>
          <w:szCs w:val="22"/>
        </w:rPr>
      </w:pPr>
    </w:p>
    <w:p w14:paraId="7FD1047A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10A5AC91" w14:textId="73560DB8" w:rsidR="00EE27CE" w:rsidRDefault="00EE27CE">
      <w:pPr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sz w:val="22"/>
          <w:szCs w:val="22"/>
        </w:rPr>
        <w:br w:type="page"/>
      </w:r>
    </w:p>
    <w:p w14:paraId="47594B39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4: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05D4347C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38EE32D1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2520577D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64C92EE6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15191B41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14:paraId="5DEEF85D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7F373D17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14:paraId="7D2553E1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D5D31C2" w14:textId="77777777" w:rsidTr="68DA7903">
        <w:trPr>
          <w:trHeight w:val="320"/>
        </w:trPr>
        <w:tc>
          <w:tcPr>
            <w:tcW w:w="1638" w:type="dxa"/>
          </w:tcPr>
          <w:p w14:paraId="28197307" w14:textId="052F8934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</w:t>
            </w:r>
          </w:p>
        </w:tc>
        <w:tc>
          <w:tcPr>
            <w:tcW w:w="2070" w:type="dxa"/>
          </w:tcPr>
          <w:p w14:paraId="735E8D3C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485FCA4C" w14:textId="77777777" w:rsidTr="68DA7903">
        <w:trPr>
          <w:trHeight w:val="320"/>
        </w:trPr>
        <w:tc>
          <w:tcPr>
            <w:tcW w:w="1638" w:type="dxa"/>
          </w:tcPr>
          <w:p w14:paraId="4B4A95CD" w14:textId="0BAF4E76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8</w:t>
            </w:r>
          </w:p>
        </w:tc>
        <w:tc>
          <w:tcPr>
            <w:tcW w:w="2070" w:type="dxa"/>
          </w:tcPr>
          <w:p w14:paraId="0761A767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6A571F56" w14:textId="77777777" w:rsidTr="68DA7903">
        <w:trPr>
          <w:trHeight w:val="320"/>
        </w:trPr>
        <w:tc>
          <w:tcPr>
            <w:tcW w:w="1638" w:type="dxa"/>
          </w:tcPr>
          <w:p w14:paraId="1DE0A213" w14:textId="5F61ABAE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9</w:t>
            </w:r>
          </w:p>
        </w:tc>
        <w:tc>
          <w:tcPr>
            <w:tcW w:w="2070" w:type="dxa"/>
          </w:tcPr>
          <w:p w14:paraId="4DB66BEC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48D2C31" w14:textId="77777777" w:rsidTr="68DA7903">
        <w:trPr>
          <w:trHeight w:val="320"/>
        </w:trPr>
        <w:tc>
          <w:tcPr>
            <w:tcW w:w="1638" w:type="dxa"/>
          </w:tcPr>
          <w:p w14:paraId="2B5A27F2" w14:textId="53D35A72" w:rsidR="00DA0C46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10</w:t>
            </w:r>
          </w:p>
        </w:tc>
        <w:tc>
          <w:tcPr>
            <w:tcW w:w="2070" w:type="dxa"/>
          </w:tcPr>
          <w:p w14:paraId="3CBB3280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0890CA04" w14:textId="77777777" w:rsidTr="68DA7903">
        <w:trPr>
          <w:trHeight w:val="320"/>
        </w:trPr>
        <w:tc>
          <w:tcPr>
            <w:tcW w:w="1638" w:type="dxa"/>
          </w:tcPr>
          <w:p w14:paraId="2E1AD3D5" w14:textId="6719092E" w:rsidR="00DB5A59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11</w:t>
            </w:r>
          </w:p>
        </w:tc>
        <w:tc>
          <w:tcPr>
            <w:tcW w:w="2070" w:type="dxa"/>
          </w:tcPr>
          <w:p w14:paraId="563D4BC6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27E59A93" w14:textId="77777777" w:rsidTr="68DA7903">
        <w:trPr>
          <w:trHeight w:val="320"/>
        </w:trPr>
        <w:tc>
          <w:tcPr>
            <w:tcW w:w="1638" w:type="dxa"/>
          </w:tcPr>
          <w:p w14:paraId="42B3D538" w14:textId="07306E7B" w:rsidR="00DB5A59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12</w:t>
            </w:r>
          </w:p>
        </w:tc>
        <w:tc>
          <w:tcPr>
            <w:tcW w:w="2070" w:type="dxa"/>
          </w:tcPr>
          <w:p w14:paraId="0807A22F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66994529" w14:textId="77777777" w:rsidTr="68DA7903">
        <w:trPr>
          <w:trHeight w:val="320"/>
        </w:trPr>
        <w:tc>
          <w:tcPr>
            <w:tcW w:w="1638" w:type="dxa"/>
          </w:tcPr>
          <w:p w14:paraId="38B99A1B" w14:textId="0DE6E058" w:rsidR="00DB5A59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13</w:t>
            </w:r>
          </w:p>
        </w:tc>
        <w:tc>
          <w:tcPr>
            <w:tcW w:w="2070" w:type="dxa"/>
          </w:tcPr>
          <w:p w14:paraId="4359C9A3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230E04B9" w14:textId="77777777" w:rsidTr="68DA7903">
        <w:trPr>
          <w:trHeight w:val="320"/>
        </w:trPr>
        <w:tc>
          <w:tcPr>
            <w:tcW w:w="1638" w:type="dxa"/>
          </w:tcPr>
          <w:p w14:paraId="71E9A5BD" w14:textId="49DA32B4" w:rsidR="00DB5A59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14</w:t>
            </w:r>
          </w:p>
        </w:tc>
        <w:tc>
          <w:tcPr>
            <w:tcW w:w="2070" w:type="dxa"/>
          </w:tcPr>
          <w:p w14:paraId="2B8832B5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B5A59" w:rsidRPr="00AF62AC" w14:paraId="2F254A92" w14:textId="77777777" w:rsidTr="68DA7903">
        <w:trPr>
          <w:trHeight w:val="320"/>
        </w:trPr>
        <w:tc>
          <w:tcPr>
            <w:tcW w:w="1638" w:type="dxa"/>
          </w:tcPr>
          <w:p w14:paraId="5F2C7900" w14:textId="4633EE69" w:rsidR="00DB5A59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15</w:t>
            </w:r>
          </w:p>
        </w:tc>
        <w:tc>
          <w:tcPr>
            <w:tcW w:w="2070" w:type="dxa"/>
          </w:tcPr>
          <w:p w14:paraId="482ADB21" w14:textId="77777777" w:rsidR="00DB5A59" w:rsidRPr="00AF62AC" w:rsidRDefault="00DB5A5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E74499" w:rsidRPr="00AF62AC" w14:paraId="627CA0E6" w14:textId="77777777" w:rsidTr="68DA7903">
        <w:trPr>
          <w:trHeight w:val="320"/>
        </w:trPr>
        <w:tc>
          <w:tcPr>
            <w:tcW w:w="1638" w:type="dxa"/>
          </w:tcPr>
          <w:p w14:paraId="1EF31306" w14:textId="3C22BDB7" w:rsidR="00E74499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16</w:t>
            </w:r>
          </w:p>
        </w:tc>
        <w:tc>
          <w:tcPr>
            <w:tcW w:w="2070" w:type="dxa"/>
          </w:tcPr>
          <w:p w14:paraId="6E2D7F61" w14:textId="77777777" w:rsidR="00E74499" w:rsidRPr="00AF62AC" w:rsidRDefault="00E7449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E74499" w:rsidRPr="00AF62AC" w14:paraId="78552D64" w14:textId="77777777" w:rsidTr="68DA7903">
        <w:trPr>
          <w:trHeight w:val="320"/>
        </w:trPr>
        <w:tc>
          <w:tcPr>
            <w:tcW w:w="1638" w:type="dxa"/>
          </w:tcPr>
          <w:p w14:paraId="08D60C7A" w14:textId="54A2DACD" w:rsidR="00E74499" w:rsidRPr="00AF62AC" w:rsidRDefault="00A47FA1" w:rsidP="00E7449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17</w:t>
            </w:r>
          </w:p>
        </w:tc>
        <w:tc>
          <w:tcPr>
            <w:tcW w:w="2070" w:type="dxa"/>
          </w:tcPr>
          <w:p w14:paraId="16A94F55" w14:textId="77777777" w:rsidR="00E74499" w:rsidRPr="00AF62AC" w:rsidRDefault="00E7449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1612B5BA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5253B4EF" w14:textId="77777777" w:rsidR="00DA0C46" w:rsidRPr="00AF62AC" w:rsidRDefault="00DA0C46" w:rsidP="0013732B">
      <w:pPr>
        <w:widowControl/>
        <w:rPr>
          <w:rFonts w:ascii="Garamond" w:eastAsia="Times New Roman" w:hAnsi="Garamond" w:cs="Times New Roman"/>
          <w:b/>
          <w:sz w:val="22"/>
          <w:szCs w:val="22"/>
        </w:rPr>
      </w:pPr>
    </w:p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8A2A2" w14:textId="77777777" w:rsidR="00A76153" w:rsidRDefault="00A76153">
      <w:r>
        <w:separator/>
      </w:r>
    </w:p>
  </w:endnote>
  <w:endnote w:type="continuationSeparator" w:id="0">
    <w:p w14:paraId="6BC2F1FD" w14:textId="77777777" w:rsidR="00A76153" w:rsidRDefault="00A76153">
      <w:r>
        <w:continuationSeparator/>
      </w:r>
    </w:p>
  </w:endnote>
  <w:endnote w:type="continuationNotice" w:id="1">
    <w:p w14:paraId="6042FC8F" w14:textId="77777777" w:rsidR="00A76153" w:rsidRDefault="00A76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D700B" w14:textId="77777777" w:rsidR="00A76153" w:rsidRDefault="00A76153">
      <w:r>
        <w:separator/>
      </w:r>
    </w:p>
  </w:footnote>
  <w:footnote w:type="continuationSeparator" w:id="0">
    <w:p w14:paraId="114D7A18" w14:textId="77777777" w:rsidR="00A76153" w:rsidRDefault="00A76153">
      <w:r>
        <w:continuationSeparator/>
      </w:r>
    </w:p>
  </w:footnote>
  <w:footnote w:type="continuationNotice" w:id="1">
    <w:p w14:paraId="2CD7F730" w14:textId="77777777" w:rsidR="00A76153" w:rsidRDefault="00A761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2CCE1ABD"/>
    <w:multiLevelType w:val="hybridMultilevel"/>
    <w:tmpl w:val="019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3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4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5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7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9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2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5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6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9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30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1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2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4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5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6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7"/>
  </w:num>
  <w:num w:numId="2" w16cid:durableId="912086006">
    <w:abstractNumId w:val="10"/>
  </w:num>
  <w:num w:numId="3" w16cid:durableId="472336732">
    <w:abstractNumId w:val="37"/>
  </w:num>
  <w:num w:numId="4" w16cid:durableId="446386137">
    <w:abstractNumId w:val="18"/>
  </w:num>
  <w:num w:numId="5" w16cid:durableId="2046908502">
    <w:abstractNumId w:val="2"/>
  </w:num>
  <w:num w:numId="6" w16cid:durableId="255018676">
    <w:abstractNumId w:val="12"/>
  </w:num>
  <w:num w:numId="7" w16cid:durableId="1685326854">
    <w:abstractNumId w:val="29"/>
  </w:num>
  <w:num w:numId="8" w16cid:durableId="1478952908">
    <w:abstractNumId w:val="14"/>
  </w:num>
  <w:num w:numId="9" w16cid:durableId="1212814688">
    <w:abstractNumId w:val="0"/>
  </w:num>
  <w:num w:numId="10" w16cid:durableId="622620393">
    <w:abstractNumId w:val="33"/>
  </w:num>
  <w:num w:numId="11" w16cid:durableId="480540478">
    <w:abstractNumId w:val="23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5"/>
  </w:num>
  <w:num w:numId="15" w16cid:durableId="2081711970">
    <w:abstractNumId w:val="5"/>
  </w:num>
  <w:num w:numId="16" w16cid:durableId="186605181">
    <w:abstractNumId w:val="16"/>
  </w:num>
  <w:num w:numId="17" w16cid:durableId="1647005762">
    <w:abstractNumId w:val="22"/>
  </w:num>
  <w:num w:numId="18" w16cid:durableId="1911308955">
    <w:abstractNumId w:val="13"/>
  </w:num>
  <w:num w:numId="19" w16cid:durableId="476800485">
    <w:abstractNumId w:val="36"/>
  </w:num>
  <w:num w:numId="20" w16cid:durableId="880169080">
    <w:abstractNumId w:val="34"/>
  </w:num>
  <w:num w:numId="21" w16cid:durableId="1249003769">
    <w:abstractNumId w:val="19"/>
  </w:num>
  <w:num w:numId="22" w16cid:durableId="281768548">
    <w:abstractNumId w:val="25"/>
  </w:num>
  <w:num w:numId="23" w16cid:durableId="69154540">
    <w:abstractNumId w:val="32"/>
  </w:num>
  <w:num w:numId="24" w16cid:durableId="750347075">
    <w:abstractNumId w:val="28"/>
  </w:num>
  <w:num w:numId="25" w16cid:durableId="551037948">
    <w:abstractNumId w:val="21"/>
  </w:num>
  <w:num w:numId="26" w16cid:durableId="1113404893">
    <w:abstractNumId w:val="35"/>
  </w:num>
  <w:num w:numId="27" w16cid:durableId="70590742">
    <w:abstractNumId w:val="7"/>
  </w:num>
  <w:num w:numId="28" w16cid:durableId="122235014">
    <w:abstractNumId w:val="20"/>
  </w:num>
  <w:num w:numId="29" w16cid:durableId="1048186930">
    <w:abstractNumId w:val="24"/>
  </w:num>
  <w:num w:numId="30" w16cid:durableId="615524233">
    <w:abstractNumId w:val="27"/>
  </w:num>
  <w:num w:numId="31" w16cid:durableId="529680932">
    <w:abstractNumId w:val="30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1"/>
  </w:num>
  <w:num w:numId="37" w16cid:durableId="193349272">
    <w:abstractNumId w:val="26"/>
  </w:num>
  <w:num w:numId="38" w16cid:durableId="11658271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21C6E"/>
    <w:rsid w:val="000229D9"/>
    <w:rsid w:val="000266F3"/>
    <w:rsid w:val="00027E56"/>
    <w:rsid w:val="000568AA"/>
    <w:rsid w:val="000634FB"/>
    <w:rsid w:val="000713D6"/>
    <w:rsid w:val="0007493B"/>
    <w:rsid w:val="00076D8B"/>
    <w:rsid w:val="00077704"/>
    <w:rsid w:val="00081FDF"/>
    <w:rsid w:val="00082831"/>
    <w:rsid w:val="000952E7"/>
    <w:rsid w:val="000A4C82"/>
    <w:rsid w:val="000C71A4"/>
    <w:rsid w:val="000D280C"/>
    <w:rsid w:val="000D5923"/>
    <w:rsid w:val="000E6EC0"/>
    <w:rsid w:val="000F5887"/>
    <w:rsid w:val="00107CA5"/>
    <w:rsid w:val="00107FA5"/>
    <w:rsid w:val="0011322E"/>
    <w:rsid w:val="0011709D"/>
    <w:rsid w:val="001226E8"/>
    <w:rsid w:val="00126D24"/>
    <w:rsid w:val="0013732B"/>
    <w:rsid w:val="00154660"/>
    <w:rsid w:val="00156184"/>
    <w:rsid w:val="00165BB3"/>
    <w:rsid w:val="0017042F"/>
    <w:rsid w:val="001718ED"/>
    <w:rsid w:val="00176FB6"/>
    <w:rsid w:val="00180563"/>
    <w:rsid w:val="00184D46"/>
    <w:rsid w:val="001862BA"/>
    <w:rsid w:val="001A64DC"/>
    <w:rsid w:val="001C26B0"/>
    <w:rsid w:val="001E11AE"/>
    <w:rsid w:val="001F3D58"/>
    <w:rsid w:val="00203B30"/>
    <w:rsid w:val="002070CD"/>
    <w:rsid w:val="0020750E"/>
    <w:rsid w:val="00215B45"/>
    <w:rsid w:val="00227BEA"/>
    <w:rsid w:val="00235E33"/>
    <w:rsid w:val="002370BB"/>
    <w:rsid w:val="00240674"/>
    <w:rsid w:val="0024487A"/>
    <w:rsid w:val="002506EA"/>
    <w:rsid w:val="00253DAE"/>
    <w:rsid w:val="002568F5"/>
    <w:rsid w:val="00263A01"/>
    <w:rsid w:val="00270039"/>
    <w:rsid w:val="00270838"/>
    <w:rsid w:val="00274105"/>
    <w:rsid w:val="00275AEE"/>
    <w:rsid w:val="002768EA"/>
    <w:rsid w:val="0028172F"/>
    <w:rsid w:val="00293E09"/>
    <w:rsid w:val="00296910"/>
    <w:rsid w:val="002A0736"/>
    <w:rsid w:val="002A7E35"/>
    <w:rsid w:val="002B008F"/>
    <w:rsid w:val="002B7FBB"/>
    <w:rsid w:val="002D57FA"/>
    <w:rsid w:val="002F70F3"/>
    <w:rsid w:val="002F7959"/>
    <w:rsid w:val="003060FE"/>
    <w:rsid w:val="003174DE"/>
    <w:rsid w:val="00317935"/>
    <w:rsid w:val="00322D6E"/>
    <w:rsid w:val="0032597C"/>
    <w:rsid w:val="00352817"/>
    <w:rsid w:val="003530AD"/>
    <w:rsid w:val="00364124"/>
    <w:rsid w:val="00364471"/>
    <w:rsid w:val="00365F98"/>
    <w:rsid w:val="00370430"/>
    <w:rsid w:val="003732D3"/>
    <w:rsid w:val="00376EBC"/>
    <w:rsid w:val="003A1E71"/>
    <w:rsid w:val="003A2959"/>
    <w:rsid w:val="003A5B84"/>
    <w:rsid w:val="003A6AE2"/>
    <w:rsid w:val="003A6E8F"/>
    <w:rsid w:val="003B014B"/>
    <w:rsid w:val="003B3CB8"/>
    <w:rsid w:val="003C59C9"/>
    <w:rsid w:val="003C6F5F"/>
    <w:rsid w:val="003E5F6F"/>
    <w:rsid w:val="003F46ED"/>
    <w:rsid w:val="003F66BC"/>
    <w:rsid w:val="00401DB6"/>
    <w:rsid w:val="00402947"/>
    <w:rsid w:val="00413E70"/>
    <w:rsid w:val="004144E8"/>
    <w:rsid w:val="00422020"/>
    <w:rsid w:val="0042590D"/>
    <w:rsid w:val="004450B0"/>
    <w:rsid w:val="004477E7"/>
    <w:rsid w:val="00447BAE"/>
    <w:rsid w:val="00456D7E"/>
    <w:rsid w:val="004875BD"/>
    <w:rsid w:val="00487F7A"/>
    <w:rsid w:val="00491231"/>
    <w:rsid w:val="00492CC6"/>
    <w:rsid w:val="004B54F2"/>
    <w:rsid w:val="004C68B7"/>
    <w:rsid w:val="004E7C61"/>
    <w:rsid w:val="004F3A96"/>
    <w:rsid w:val="004F67D5"/>
    <w:rsid w:val="00505EF9"/>
    <w:rsid w:val="00507D3C"/>
    <w:rsid w:val="00524A03"/>
    <w:rsid w:val="0054116C"/>
    <w:rsid w:val="00551372"/>
    <w:rsid w:val="00551783"/>
    <w:rsid w:val="00567FF2"/>
    <w:rsid w:val="00571E3E"/>
    <w:rsid w:val="005729B9"/>
    <w:rsid w:val="00574EBB"/>
    <w:rsid w:val="00591412"/>
    <w:rsid w:val="00593DC2"/>
    <w:rsid w:val="00597493"/>
    <w:rsid w:val="005A3A5D"/>
    <w:rsid w:val="005A48E0"/>
    <w:rsid w:val="005A65C4"/>
    <w:rsid w:val="005B2CAD"/>
    <w:rsid w:val="005B62E6"/>
    <w:rsid w:val="005C5FA7"/>
    <w:rsid w:val="005C6D00"/>
    <w:rsid w:val="005D5AA7"/>
    <w:rsid w:val="005D7D6B"/>
    <w:rsid w:val="005E22C8"/>
    <w:rsid w:val="005E34F8"/>
    <w:rsid w:val="005E5902"/>
    <w:rsid w:val="005E6EB3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01C9"/>
    <w:rsid w:val="00677106"/>
    <w:rsid w:val="006836C5"/>
    <w:rsid w:val="006916B3"/>
    <w:rsid w:val="00692680"/>
    <w:rsid w:val="006932EB"/>
    <w:rsid w:val="00696649"/>
    <w:rsid w:val="006A17A3"/>
    <w:rsid w:val="006A2F0F"/>
    <w:rsid w:val="006B02A9"/>
    <w:rsid w:val="006B072D"/>
    <w:rsid w:val="006B0D2C"/>
    <w:rsid w:val="006C6A29"/>
    <w:rsid w:val="006C7F2F"/>
    <w:rsid w:val="006E1947"/>
    <w:rsid w:val="006E1C73"/>
    <w:rsid w:val="006E488C"/>
    <w:rsid w:val="006F031B"/>
    <w:rsid w:val="006F1EE7"/>
    <w:rsid w:val="006F2B56"/>
    <w:rsid w:val="006F6E0B"/>
    <w:rsid w:val="007047A4"/>
    <w:rsid w:val="00711FC0"/>
    <w:rsid w:val="00717B4A"/>
    <w:rsid w:val="007204EF"/>
    <w:rsid w:val="00722742"/>
    <w:rsid w:val="00725FE6"/>
    <w:rsid w:val="0073284C"/>
    <w:rsid w:val="00734917"/>
    <w:rsid w:val="00745BFD"/>
    <w:rsid w:val="00746640"/>
    <w:rsid w:val="00756C01"/>
    <w:rsid w:val="00766FA8"/>
    <w:rsid w:val="007767A4"/>
    <w:rsid w:val="00777331"/>
    <w:rsid w:val="0078665A"/>
    <w:rsid w:val="00796404"/>
    <w:rsid w:val="007A4805"/>
    <w:rsid w:val="007A7CD3"/>
    <w:rsid w:val="007B1402"/>
    <w:rsid w:val="007B4FEF"/>
    <w:rsid w:val="007B7A6B"/>
    <w:rsid w:val="007D0AB5"/>
    <w:rsid w:val="007D4537"/>
    <w:rsid w:val="007E5129"/>
    <w:rsid w:val="007E7899"/>
    <w:rsid w:val="008026BA"/>
    <w:rsid w:val="008316AA"/>
    <w:rsid w:val="00844C37"/>
    <w:rsid w:val="0085094F"/>
    <w:rsid w:val="0085296B"/>
    <w:rsid w:val="00863187"/>
    <w:rsid w:val="00875CE3"/>
    <w:rsid w:val="00877A96"/>
    <w:rsid w:val="008805EB"/>
    <w:rsid w:val="008903C2"/>
    <w:rsid w:val="00892905"/>
    <w:rsid w:val="00893E3E"/>
    <w:rsid w:val="008A0E27"/>
    <w:rsid w:val="008B5D38"/>
    <w:rsid w:val="008C11C5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30FF0"/>
    <w:rsid w:val="009314C5"/>
    <w:rsid w:val="00931FA8"/>
    <w:rsid w:val="00932BEA"/>
    <w:rsid w:val="00960BB1"/>
    <w:rsid w:val="00964300"/>
    <w:rsid w:val="009653D1"/>
    <w:rsid w:val="00967418"/>
    <w:rsid w:val="00970BB8"/>
    <w:rsid w:val="00975C41"/>
    <w:rsid w:val="0098523E"/>
    <w:rsid w:val="00993C32"/>
    <w:rsid w:val="009A468C"/>
    <w:rsid w:val="009A73D7"/>
    <w:rsid w:val="009C585F"/>
    <w:rsid w:val="009E6E24"/>
    <w:rsid w:val="009F3041"/>
    <w:rsid w:val="00A15A2F"/>
    <w:rsid w:val="00A2126C"/>
    <w:rsid w:val="00A434D5"/>
    <w:rsid w:val="00A469D0"/>
    <w:rsid w:val="00A47FA1"/>
    <w:rsid w:val="00A57094"/>
    <w:rsid w:val="00A57AAE"/>
    <w:rsid w:val="00A60B11"/>
    <w:rsid w:val="00A66037"/>
    <w:rsid w:val="00A66598"/>
    <w:rsid w:val="00A76153"/>
    <w:rsid w:val="00A864EA"/>
    <w:rsid w:val="00A90D59"/>
    <w:rsid w:val="00A9121C"/>
    <w:rsid w:val="00A9414B"/>
    <w:rsid w:val="00AA0E9C"/>
    <w:rsid w:val="00AA2ED3"/>
    <w:rsid w:val="00AA676B"/>
    <w:rsid w:val="00AA6C47"/>
    <w:rsid w:val="00AB7481"/>
    <w:rsid w:val="00AC3135"/>
    <w:rsid w:val="00AE5BC0"/>
    <w:rsid w:val="00AF62AC"/>
    <w:rsid w:val="00B016D1"/>
    <w:rsid w:val="00B15171"/>
    <w:rsid w:val="00B207A4"/>
    <w:rsid w:val="00B26E97"/>
    <w:rsid w:val="00B2720D"/>
    <w:rsid w:val="00B326D9"/>
    <w:rsid w:val="00B4566D"/>
    <w:rsid w:val="00B5046B"/>
    <w:rsid w:val="00B52683"/>
    <w:rsid w:val="00B52907"/>
    <w:rsid w:val="00B53BD5"/>
    <w:rsid w:val="00B55664"/>
    <w:rsid w:val="00B63A09"/>
    <w:rsid w:val="00B80A02"/>
    <w:rsid w:val="00B95431"/>
    <w:rsid w:val="00B96A6E"/>
    <w:rsid w:val="00BA22A9"/>
    <w:rsid w:val="00BA4DE5"/>
    <w:rsid w:val="00BB51ED"/>
    <w:rsid w:val="00BB5507"/>
    <w:rsid w:val="00BC17AD"/>
    <w:rsid w:val="00BC61D4"/>
    <w:rsid w:val="00BD4D77"/>
    <w:rsid w:val="00BF20C5"/>
    <w:rsid w:val="00C01060"/>
    <w:rsid w:val="00C02163"/>
    <w:rsid w:val="00C02413"/>
    <w:rsid w:val="00C06630"/>
    <w:rsid w:val="00C16FAF"/>
    <w:rsid w:val="00C24261"/>
    <w:rsid w:val="00C30E17"/>
    <w:rsid w:val="00C321B5"/>
    <w:rsid w:val="00C3485D"/>
    <w:rsid w:val="00C41440"/>
    <w:rsid w:val="00C41595"/>
    <w:rsid w:val="00C52EAF"/>
    <w:rsid w:val="00C548F8"/>
    <w:rsid w:val="00C61F78"/>
    <w:rsid w:val="00C679D3"/>
    <w:rsid w:val="00C7505C"/>
    <w:rsid w:val="00C76106"/>
    <w:rsid w:val="00C80D90"/>
    <w:rsid w:val="00C8166F"/>
    <w:rsid w:val="00C858C5"/>
    <w:rsid w:val="00C90403"/>
    <w:rsid w:val="00C94B70"/>
    <w:rsid w:val="00CA1C67"/>
    <w:rsid w:val="00CA2999"/>
    <w:rsid w:val="00CB24B6"/>
    <w:rsid w:val="00CE1104"/>
    <w:rsid w:val="00CF74FF"/>
    <w:rsid w:val="00D00EAB"/>
    <w:rsid w:val="00D0480D"/>
    <w:rsid w:val="00D126C5"/>
    <w:rsid w:val="00D232C5"/>
    <w:rsid w:val="00D33426"/>
    <w:rsid w:val="00D346AA"/>
    <w:rsid w:val="00D35D86"/>
    <w:rsid w:val="00D4012C"/>
    <w:rsid w:val="00D5437D"/>
    <w:rsid w:val="00D56CD0"/>
    <w:rsid w:val="00D61CC4"/>
    <w:rsid w:val="00D63B05"/>
    <w:rsid w:val="00D80BDB"/>
    <w:rsid w:val="00DA0C46"/>
    <w:rsid w:val="00DA125F"/>
    <w:rsid w:val="00DB4E2D"/>
    <w:rsid w:val="00DB5A59"/>
    <w:rsid w:val="00DC5841"/>
    <w:rsid w:val="00DD0804"/>
    <w:rsid w:val="00DD3CE1"/>
    <w:rsid w:val="00DD7B94"/>
    <w:rsid w:val="00DE5729"/>
    <w:rsid w:val="00DF1787"/>
    <w:rsid w:val="00DF30C0"/>
    <w:rsid w:val="00DF5254"/>
    <w:rsid w:val="00DF6EED"/>
    <w:rsid w:val="00E0176B"/>
    <w:rsid w:val="00E02CA7"/>
    <w:rsid w:val="00E07288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5414A"/>
    <w:rsid w:val="00E66475"/>
    <w:rsid w:val="00E74499"/>
    <w:rsid w:val="00E86BA6"/>
    <w:rsid w:val="00EA0016"/>
    <w:rsid w:val="00EA0F63"/>
    <w:rsid w:val="00EA340E"/>
    <w:rsid w:val="00EA5599"/>
    <w:rsid w:val="00EA6F8E"/>
    <w:rsid w:val="00EB58B7"/>
    <w:rsid w:val="00EB75E1"/>
    <w:rsid w:val="00EE059E"/>
    <w:rsid w:val="00EE27CE"/>
    <w:rsid w:val="00EF6F2D"/>
    <w:rsid w:val="00F06367"/>
    <w:rsid w:val="00F25B6D"/>
    <w:rsid w:val="00F305B9"/>
    <w:rsid w:val="00F30F9D"/>
    <w:rsid w:val="00F33700"/>
    <w:rsid w:val="00F33C28"/>
    <w:rsid w:val="00F342ED"/>
    <w:rsid w:val="00F354F1"/>
    <w:rsid w:val="00F3661E"/>
    <w:rsid w:val="00F4613D"/>
    <w:rsid w:val="00F53CC6"/>
    <w:rsid w:val="00F554B7"/>
    <w:rsid w:val="00F6058F"/>
    <w:rsid w:val="00F60A16"/>
    <w:rsid w:val="00F62CD3"/>
    <w:rsid w:val="00F713B3"/>
    <w:rsid w:val="00F823FB"/>
    <w:rsid w:val="00F82856"/>
    <w:rsid w:val="00F830D5"/>
    <w:rsid w:val="00F90A79"/>
    <w:rsid w:val="00F97C4B"/>
    <w:rsid w:val="00FA0C38"/>
    <w:rsid w:val="00FA2D39"/>
    <w:rsid w:val="00FB57BD"/>
    <w:rsid w:val="00FE0CA5"/>
    <w:rsid w:val="00FE1D07"/>
    <w:rsid w:val="00FE21CC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821F2CB"/>
    <w:rsid w:val="289677ED"/>
    <w:rsid w:val="28F86D6B"/>
    <w:rsid w:val="294575C7"/>
    <w:rsid w:val="2A1D979E"/>
    <w:rsid w:val="2A55D2EB"/>
    <w:rsid w:val="2AA3D71D"/>
    <w:rsid w:val="2AF5E596"/>
    <w:rsid w:val="2B146AC8"/>
    <w:rsid w:val="2BB660F5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2622B4D"/>
    <w:rsid w:val="328014D1"/>
    <w:rsid w:val="32B48F9F"/>
    <w:rsid w:val="3455FE74"/>
    <w:rsid w:val="349100D2"/>
    <w:rsid w:val="3572813B"/>
    <w:rsid w:val="36E333E8"/>
    <w:rsid w:val="3820B59B"/>
    <w:rsid w:val="387E09D9"/>
    <w:rsid w:val="39DBAB0D"/>
    <w:rsid w:val="39FCC670"/>
    <w:rsid w:val="3A63C921"/>
    <w:rsid w:val="3AB1DD2A"/>
    <w:rsid w:val="3B05F5CF"/>
    <w:rsid w:val="3B9318DD"/>
    <w:rsid w:val="3BD2B473"/>
    <w:rsid w:val="3C12D429"/>
    <w:rsid w:val="3C7100E9"/>
    <w:rsid w:val="3CA74BAB"/>
    <w:rsid w:val="3CAE7AA2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DD541B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8CE4DF6"/>
    <w:rsid w:val="49E2F3C4"/>
    <w:rsid w:val="4A099C8D"/>
    <w:rsid w:val="4A11E638"/>
    <w:rsid w:val="4A3AD9A6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9BF04C"/>
    <w:rsid w:val="5624E02D"/>
    <w:rsid w:val="56BCD8CB"/>
    <w:rsid w:val="56BF462C"/>
    <w:rsid w:val="57A343CE"/>
    <w:rsid w:val="57C5B5BB"/>
    <w:rsid w:val="57C640FC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3146D19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053A6A"/>
    <w:rsid w:val="6815FCC0"/>
    <w:rsid w:val="688F225C"/>
    <w:rsid w:val="68DA7903"/>
    <w:rsid w:val="69D2FFE7"/>
    <w:rsid w:val="6A845649"/>
    <w:rsid w:val="6A8AF18F"/>
    <w:rsid w:val="6ABC73E3"/>
    <w:rsid w:val="6AE05F5E"/>
    <w:rsid w:val="6B98FB53"/>
    <w:rsid w:val="6C66D2BF"/>
    <w:rsid w:val="6D6AB2DB"/>
    <w:rsid w:val="6DF1BCF0"/>
    <w:rsid w:val="6E3B67AD"/>
    <w:rsid w:val="6F21629E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50202F2C-E2A0-46F7-815C-C0AD77E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75E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  <w:style w:type="character" w:customStyle="1" w:styleId="ListParagraphChar">
    <w:name w:val="List Paragraph Char"/>
    <w:basedOn w:val="DefaultParagraphFont"/>
    <w:link w:val="ListParagraph"/>
    <w:uiPriority w:val="34"/>
    <w:rsid w:val="00B2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BA9320DDE6C54BB89B6238A4394353" ma:contentTypeVersion="3" ma:contentTypeDescription="Create a new document." ma:contentTypeScope="" ma:versionID="fd9019cb704562e8c7e40f11a7a13b3d">
  <xsd:schema xmlns:xsd="http://www.w3.org/2001/XMLSchema" xmlns:xs="http://www.w3.org/2001/XMLSchema" xmlns:p="http://schemas.microsoft.com/office/2006/metadata/properties" xmlns:ns2="ee6efde3-c22c-442e-889a-d9d63b2f1667" targetNamespace="http://schemas.microsoft.com/office/2006/metadata/properties" ma:root="true" ma:fieldsID="c514503cc3353c5f1ce7cb93f1ad334e" ns2:_="">
    <xsd:import namespace="ee6efde3-c22c-442e-889a-d9d63b2f16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6efde3-c22c-442e-889a-d9d63b2f16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4F502E-F711-4C99-A95B-D85614419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9969A4-78C3-49A6-9B7D-99B13373D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34B41E-DD78-4363-BEE5-0F23472974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Salinas, Lisa J</cp:lastModifiedBy>
  <cp:revision>2</cp:revision>
  <dcterms:created xsi:type="dcterms:W3CDTF">2025-12-09T20:18:00Z</dcterms:created>
  <dcterms:modified xsi:type="dcterms:W3CDTF">2025-12-09T20:18:00Z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0x0101004DBA9320DDE6C54BB89B6238A4394353</vt:lpwstr>
  </property>
</Properties>
</file>